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9"/>
        <w:ind w:left="216"/>
      </w:pPr>
      <w:r>
        <w:rPr/>
        <w:t>Liebe Mitarbeiterinnen und Mitarbeiter!</w:t>
      </w:r>
    </w:p>
    <w:p>
      <w:pPr>
        <w:pStyle w:val="BodyText"/>
        <w:jc w:val="left"/>
      </w:pPr>
    </w:p>
    <w:p>
      <w:pPr>
        <w:pStyle w:val="BodyText"/>
        <w:spacing w:before="1"/>
        <w:ind w:left="216" w:right="214"/>
      </w:pPr>
      <w:r>
        <w:rPr/>
        <w:t>Da</w:t>
      </w:r>
      <w:r>
        <w:rPr>
          <w:spacing w:val="-17"/>
        </w:rPr>
        <w:t> </w:t>
      </w:r>
      <w:r>
        <w:rPr/>
        <w:t>unsere</w:t>
      </w:r>
      <w:r>
        <w:rPr>
          <w:spacing w:val="-17"/>
        </w:rPr>
        <w:t> </w:t>
      </w:r>
      <w:r>
        <w:rPr/>
        <w:t>Gehalts-</w:t>
      </w:r>
      <w:r>
        <w:rPr>
          <w:spacing w:val="-17"/>
        </w:rPr>
        <w:t> </w:t>
      </w:r>
      <w:r>
        <w:rPr/>
        <w:t>und</w:t>
      </w:r>
      <w:r>
        <w:rPr>
          <w:spacing w:val="-10"/>
        </w:rPr>
        <w:t> </w:t>
      </w:r>
      <w:r>
        <w:rPr/>
        <w:t>Lohnabteilung</w:t>
      </w:r>
      <w:r>
        <w:rPr>
          <w:spacing w:val="-18"/>
        </w:rPr>
        <w:t> </w:t>
      </w:r>
      <w:r>
        <w:rPr/>
        <w:t>in</w:t>
      </w:r>
      <w:r>
        <w:rPr>
          <w:spacing w:val="-12"/>
        </w:rPr>
        <w:t> </w:t>
      </w:r>
      <w:r>
        <w:rPr/>
        <w:t>letzter</w:t>
      </w:r>
      <w:r>
        <w:rPr>
          <w:spacing w:val="-15"/>
        </w:rPr>
        <w:t> </w:t>
      </w:r>
      <w:r>
        <w:rPr/>
        <w:t>Zeit</w:t>
      </w:r>
      <w:r>
        <w:rPr>
          <w:spacing w:val="-14"/>
        </w:rPr>
        <w:t> </w:t>
      </w:r>
      <w:r>
        <w:rPr/>
        <w:t>immer</w:t>
      </w:r>
      <w:r>
        <w:rPr>
          <w:spacing w:val="-17"/>
        </w:rPr>
        <w:t> </w:t>
      </w:r>
      <w:r>
        <w:rPr/>
        <w:t>wieder</w:t>
      </w:r>
      <w:r>
        <w:rPr>
          <w:spacing w:val="-13"/>
        </w:rPr>
        <w:t> </w:t>
      </w:r>
      <w:r>
        <w:rPr/>
        <w:t>Rückfragen</w:t>
      </w:r>
      <w:r>
        <w:rPr>
          <w:spacing w:val="-16"/>
        </w:rPr>
        <w:t> </w:t>
      </w:r>
      <w:r>
        <w:rPr/>
        <w:t>zur</w:t>
      </w:r>
      <w:r>
        <w:rPr>
          <w:spacing w:val="-16"/>
        </w:rPr>
        <w:t> </w:t>
      </w:r>
      <w:r>
        <w:rPr/>
        <w:t>steuerlichen Behandlung von Sonderzahlungen (z.B. Urlaubs- und Weihnachtsgeld, Jahresprämien, Boni etc.) erhalten hat, möchten wir mit diesem Schreiben kurz die gesetzliche Funktionsweise der Steuerbegünstigung</w:t>
      </w:r>
      <w:r>
        <w:rPr>
          <w:spacing w:val="-2"/>
        </w:rPr>
        <w:t> </w:t>
      </w:r>
      <w:r>
        <w:rPr/>
        <w:t>erläutern.</w:t>
      </w:r>
    </w:p>
    <w:p>
      <w:pPr>
        <w:pStyle w:val="BodyText"/>
        <w:jc w:val="left"/>
      </w:pPr>
    </w:p>
    <w:p>
      <w:pPr>
        <w:pStyle w:val="BodyText"/>
        <w:ind w:left="216" w:right="215"/>
      </w:pPr>
      <w:r>
        <w:rPr/>
        <w:t>Sonderzahlungen sind lohnsteuerlich leider nicht grenzenlos begünstigt, sondern nur bis zur Höhe des so genannten „Jahressechstels“. Die Höhe des Jahressechstels entspricht betraglich zwei laufenden durchschnittlichen Bruttomonatsbezügen, kann also auch unterjährig schwanken (je nach Höhe der laufenden Bezüge). Die Begünstigung für Sonderzahlungen besteht</w:t>
      </w:r>
      <w:r>
        <w:rPr>
          <w:spacing w:val="-9"/>
        </w:rPr>
        <w:t> </w:t>
      </w:r>
      <w:r>
        <w:rPr/>
        <w:t>darin,</w:t>
      </w:r>
      <w:r>
        <w:rPr>
          <w:spacing w:val="-9"/>
        </w:rPr>
        <w:t> </w:t>
      </w:r>
      <w:r>
        <w:rPr/>
        <w:t>dass</w:t>
      </w:r>
      <w:r>
        <w:rPr>
          <w:spacing w:val="-8"/>
        </w:rPr>
        <w:t> </w:t>
      </w:r>
      <w:r>
        <w:rPr/>
        <w:t>innerhalb</w:t>
      </w:r>
      <w:r>
        <w:rPr>
          <w:spacing w:val="-8"/>
        </w:rPr>
        <w:t> </w:t>
      </w:r>
      <w:r>
        <w:rPr/>
        <w:t>des</w:t>
      </w:r>
      <w:r>
        <w:rPr>
          <w:spacing w:val="-11"/>
        </w:rPr>
        <w:t> </w:t>
      </w:r>
      <w:r>
        <w:rPr/>
        <w:t>Jahressechstels</w:t>
      </w:r>
      <w:r>
        <w:rPr>
          <w:spacing w:val="-8"/>
        </w:rPr>
        <w:t> </w:t>
      </w:r>
      <w:r>
        <w:rPr/>
        <w:t>die</w:t>
      </w:r>
      <w:r>
        <w:rPr>
          <w:spacing w:val="-9"/>
        </w:rPr>
        <w:t> </w:t>
      </w:r>
      <w:r>
        <w:rPr/>
        <w:t>ersten</w:t>
      </w:r>
      <w:r>
        <w:rPr>
          <w:spacing w:val="-8"/>
        </w:rPr>
        <w:t> </w:t>
      </w:r>
      <w:r>
        <w:rPr/>
        <w:t>€</w:t>
      </w:r>
      <w:r>
        <w:rPr>
          <w:spacing w:val="-8"/>
        </w:rPr>
        <w:t> </w:t>
      </w:r>
      <w:r>
        <w:rPr/>
        <w:t>620,00</w:t>
      </w:r>
      <w:r>
        <w:rPr>
          <w:spacing w:val="-8"/>
        </w:rPr>
        <w:t> </w:t>
      </w:r>
      <w:r>
        <w:rPr/>
        <w:t>steuerfrei</w:t>
      </w:r>
      <w:r>
        <w:rPr>
          <w:spacing w:val="-8"/>
        </w:rPr>
        <w:t> </w:t>
      </w:r>
      <w:r>
        <w:rPr/>
        <w:t>sind</w:t>
      </w:r>
      <w:r>
        <w:rPr>
          <w:spacing w:val="-8"/>
        </w:rPr>
        <w:t> </w:t>
      </w:r>
      <w:r>
        <w:rPr/>
        <w:t>(Freibetrag) und</w:t>
      </w:r>
      <w:r>
        <w:rPr>
          <w:spacing w:val="-4"/>
        </w:rPr>
        <w:t> </w:t>
      </w:r>
      <w:r>
        <w:rPr/>
        <w:t>darüber</w:t>
      </w:r>
      <w:r>
        <w:rPr>
          <w:spacing w:val="-5"/>
        </w:rPr>
        <w:t> </w:t>
      </w:r>
      <w:r>
        <w:rPr/>
        <w:t>hinaus</w:t>
      </w:r>
      <w:r>
        <w:rPr>
          <w:spacing w:val="-4"/>
        </w:rPr>
        <w:t> </w:t>
      </w:r>
      <w:r>
        <w:rPr/>
        <w:t>i.d.R.</w:t>
      </w:r>
      <w:r>
        <w:rPr>
          <w:spacing w:val="-3"/>
        </w:rPr>
        <w:t> </w:t>
      </w:r>
      <w:r>
        <w:rPr/>
        <w:t>eine</w:t>
      </w:r>
      <w:r>
        <w:rPr>
          <w:spacing w:val="-4"/>
        </w:rPr>
        <w:t> </w:t>
      </w:r>
      <w:r>
        <w:rPr/>
        <w:t>6</w:t>
      </w:r>
      <w:r>
        <w:rPr>
          <w:spacing w:val="-4"/>
        </w:rPr>
        <w:t> </w:t>
      </w:r>
      <w:r>
        <w:rPr/>
        <w:t>%-Besteuerung</w:t>
      </w:r>
      <w:r>
        <w:rPr>
          <w:spacing w:val="-5"/>
        </w:rPr>
        <w:t> </w:t>
      </w:r>
      <w:r>
        <w:rPr/>
        <w:t>der</w:t>
      </w:r>
      <w:r>
        <w:rPr>
          <w:spacing w:val="-5"/>
        </w:rPr>
        <w:t> </w:t>
      </w:r>
      <w:r>
        <w:rPr/>
        <w:t>Sonderzahlungen</w:t>
      </w:r>
      <w:r>
        <w:rPr>
          <w:spacing w:val="-4"/>
        </w:rPr>
        <w:t> </w:t>
      </w:r>
      <w:r>
        <w:rPr/>
        <w:t>zur</w:t>
      </w:r>
      <w:r>
        <w:rPr>
          <w:spacing w:val="-1"/>
        </w:rPr>
        <w:t> </w:t>
      </w:r>
      <w:r>
        <w:rPr/>
        <w:t>Anwendung</w:t>
      </w:r>
      <w:r>
        <w:rPr>
          <w:spacing w:val="-5"/>
        </w:rPr>
        <w:t> </w:t>
      </w:r>
      <w:r>
        <w:rPr/>
        <w:t>kommt.</w:t>
      </w:r>
    </w:p>
    <w:p>
      <w:pPr>
        <w:pStyle w:val="BodyText"/>
        <w:spacing w:before="7"/>
        <w:jc w:val="left"/>
        <w:rPr>
          <w:sz w:val="22"/>
        </w:rPr>
      </w:pPr>
      <w:r>
        <w:rPr/>
        <w:pict>
          <v:shape style="position:absolute;margin-left:69.384003pt;margin-top:14.215235pt;width:456.6pt;height:55.25pt;mso-position-horizontal-relative:page;mso-position-vertical-relative:paragraph;z-index:-251658240;mso-wrap-distance-left:0;mso-wrap-distance-right:0" type="#_x0000_t202" filled="true" fillcolor="#ffe499" stroked="false">
            <v:textbox inset="0,0,0,0">
              <w:txbxContent>
                <w:p>
                  <w:pPr>
                    <w:pStyle w:val="BodyText"/>
                    <w:spacing w:line="268" w:lineRule="exact"/>
                    <w:ind w:left="28"/>
                  </w:pPr>
                  <w:r>
                    <w:rPr>
                      <w:b/>
                    </w:rPr>
                    <w:t>Beispiel: </w:t>
                  </w:r>
                  <w:r>
                    <w:rPr/>
                    <w:t>Bei einem Bruttomonatsgehalt von € 3.000,00 beträgt das Jahressechstel i.d.R.</w:t>
                  </w:r>
                </w:p>
                <w:p>
                  <w:pPr>
                    <w:pStyle w:val="BodyText"/>
                    <w:ind w:left="28" w:right="27"/>
                  </w:pPr>
                  <w:r>
                    <w:rPr/>
                    <w:t>€</w:t>
                  </w:r>
                  <w:r>
                    <w:rPr>
                      <w:spacing w:val="-1"/>
                    </w:rPr>
                    <w:t> </w:t>
                  </w:r>
                  <w:r>
                    <w:rPr/>
                    <w:t>6.000,00.</w:t>
                  </w:r>
                  <w:r>
                    <w:rPr>
                      <w:spacing w:val="-10"/>
                    </w:rPr>
                    <w:t> </w:t>
                  </w:r>
                  <w:r>
                    <w:rPr/>
                    <w:t>Das</w:t>
                  </w:r>
                  <w:r>
                    <w:rPr>
                      <w:spacing w:val="-11"/>
                    </w:rPr>
                    <w:t> </w:t>
                  </w:r>
                  <w:r>
                    <w:rPr/>
                    <w:t>Urlaubsgeld</w:t>
                  </w:r>
                  <w:r>
                    <w:rPr>
                      <w:spacing w:val="-10"/>
                    </w:rPr>
                    <w:t> </w:t>
                  </w:r>
                  <w:r>
                    <w:rPr/>
                    <w:t>und</w:t>
                  </w:r>
                  <w:r>
                    <w:rPr>
                      <w:spacing w:val="-11"/>
                    </w:rPr>
                    <w:t> </w:t>
                  </w:r>
                  <w:r>
                    <w:rPr/>
                    <w:t>das</w:t>
                  </w:r>
                  <w:r>
                    <w:rPr>
                      <w:spacing w:val="-10"/>
                    </w:rPr>
                    <w:t> </w:t>
                  </w:r>
                  <w:r>
                    <w:rPr/>
                    <w:t>Weihnachtsgeld</w:t>
                  </w:r>
                  <w:r>
                    <w:rPr>
                      <w:spacing w:val="-10"/>
                    </w:rPr>
                    <w:t> </w:t>
                  </w:r>
                  <w:r>
                    <w:rPr/>
                    <w:t>von</w:t>
                  </w:r>
                  <w:r>
                    <w:rPr>
                      <w:spacing w:val="-11"/>
                    </w:rPr>
                    <w:t> </w:t>
                  </w:r>
                  <w:r>
                    <w:rPr/>
                    <w:t>je</w:t>
                  </w:r>
                  <w:r>
                    <w:rPr>
                      <w:spacing w:val="-10"/>
                    </w:rPr>
                    <w:t> </w:t>
                  </w:r>
                  <w:r>
                    <w:rPr/>
                    <w:t>€</w:t>
                  </w:r>
                  <w:r>
                    <w:rPr>
                      <w:spacing w:val="-10"/>
                    </w:rPr>
                    <w:t> </w:t>
                  </w:r>
                  <w:r>
                    <w:rPr/>
                    <w:t>3.000,00</w:t>
                  </w:r>
                  <w:r>
                    <w:rPr>
                      <w:spacing w:val="-9"/>
                    </w:rPr>
                    <w:t> </w:t>
                  </w:r>
                  <w:r>
                    <w:rPr/>
                    <w:t>haben</w:t>
                  </w:r>
                  <w:r>
                    <w:rPr>
                      <w:spacing w:val="-7"/>
                    </w:rPr>
                    <w:t> </w:t>
                  </w:r>
                  <w:r>
                    <w:rPr/>
                    <w:t>–</w:t>
                  </w:r>
                  <w:r>
                    <w:rPr>
                      <w:spacing w:val="-11"/>
                    </w:rPr>
                    <w:t> </w:t>
                  </w:r>
                  <w:r>
                    <w:rPr/>
                    <w:t>sofern</w:t>
                  </w:r>
                  <w:r>
                    <w:rPr>
                      <w:spacing w:val="-11"/>
                    </w:rPr>
                    <w:t> </w:t>
                  </w:r>
                  <w:r>
                    <w:rPr/>
                    <w:t>es</w:t>
                  </w:r>
                  <w:r>
                    <w:rPr>
                      <w:spacing w:val="-8"/>
                    </w:rPr>
                    <w:t> </w:t>
                  </w:r>
                  <w:r>
                    <w:rPr/>
                    <w:t>keine weiteren Sonderzahlungen gibt – im Jahressechstel exakt Platz und werden daher zur Gänze steuerbegünstigt</w:t>
                  </w:r>
                  <w:r>
                    <w:rPr>
                      <w:spacing w:val="-1"/>
                    </w:rPr>
                    <w:t> </w:t>
                  </w:r>
                  <w:r>
                    <w:rPr/>
                    <w:t>abgerechnet.</w:t>
                  </w:r>
                </w:p>
              </w:txbxContent>
            </v:textbox>
            <v:fill type="solid"/>
            <w10:wrap type="topAndBottom"/>
          </v:shape>
        </w:pict>
      </w:r>
    </w:p>
    <w:p>
      <w:pPr>
        <w:pStyle w:val="BodyText"/>
        <w:spacing w:before="2"/>
        <w:jc w:val="left"/>
        <w:rPr>
          <w:sz w:val="14"/>
        </w:rPr>
      </w:pPr>
    </w:p>
    <w:p>
      <w:pPr>
        <w:pStyle w:val="BodyText"/>
        <w:spacing w:before="90"/>
        <w:ind w:left="216" w:right="214"/>
      </w:pPr>
      <w:r>
        <w:rPr/>
        <w:t>Wenn hingegen die in einem Kalenderjahr gewährten Sonderzahlungen das Jahressechstel überschreiten (Sechstelüberhang), ist der Überschreitungsbetrag mit dem vollen Lohnsteuertarif</w:t>
      </w:r>
      <w:r>
        <w:rPr>
          <w:spacing w:val="-11"/>
        </w:rPr>
        <w:t> </w:t>
      </w:r>
      <w:r>
        <w:rPr/>
        <w:t>(gemeinsam</w:t>
      </w:r>
      <w:r>
        <w:rPr>
          <w:spacing w:val="-11"/>
        </w:rPr>
        <w:t> </w:t>
      </w:r>
      <w:r>
        <w:rPr/>
        <w:t>mit</w:t>
      </w:r>
      <w:r>
        <w:rPr>
          <w:spacing w:val="-11"/>
        </w:rPr>
        <w:t> </w:t>
      </w:r>
      <w:r>
        <w:rPr/>
        <w:t>dem</w:t>
      </w:r>
      <w:r>
        <w:rPr>
          <w:spacing w:val="-12"/>
        </w:rPr>
        <w:t> </w:t>
      </w:r>
      <w:r>
        <w:rPr/>
        <w:t>laufenden</w:t>
      </w:r>
      <w:r>
        <w:rPr>
          <w:spacing w:val="-11"/>
        </w:rPr>
        <w:t> </w:t>
      </w:r>
      <w:r>
        <w:rPr/>
        <w:t>Gehalt/Lohn)</w:t>
      </w:r>
      <w:r>
        <w:rPr>
          <w:spacing w:val="-12"/>
        </w:rPr>
        <w:t> </w:t>
      </w:r>
      <w:r>
        <w:rPr/>
        <w:t>zu</w:t>
      </w:r>
      <w:r>
        <w:rPr>
          <w:spacing w:val="-12"/>
        </w:rPr>
        <w:t> </w:t>
      </w:r>
      <w:r>
        <w:rPr/>
        <w:t>besteuern.</w:t>
      </w:r>
      <w:r>
        <w:rPr>
          <w:spacing w:val="-10"/>
        </w:rPr>
        <w:t> </w:t>
      </w:r>
      <w:r>
        <w:rPr/>
        <w:t>Dies</w:t>
      </w:r>
      <w:r>
        <w:rPr>
          <w:spacing w:val="-11"/>
        </w:rPr>
        <w:t> </w:t>
      </w:r>
      <w:r>
        <w:rPr/>
        <w:t>kann</w:t>
      </w:r>
      <w:r>
        <w:rPr>
          <w:spacing w:val="-10"/>
        </w:rPr>
        <w:t> </w:t>
      </w:r>
      <w:r>
        <w:rPr/>
        <w:t>leider</w:t>
      </w:r>
      <w:r>
        <w:rPr>
          <w:spacing w:val="-10"/>
        </w:rPr>
        <w:t> </w:t>
      </w:r>
      <w:r>
        <w:rPr/>
        <w:t>zu einer sehr hohen Steuerlast führen (bis zu 50 % des Sechstelüberhangs). Ein Sechstelüberhang entsteht insbesondere dann, wenn außer dem Urlaubszuschuss und der Weihnachtsremuneration weitere Sonderzahlungen erfolgen (z.B. Jahresbonus, jährliche Zielerreichungsprämie, Jubiläumsgeld</w:t>
      </w:r>
      <w:r>
        <w:rPr>
          <w:spacing w:val="-1"/>
        </w:rPr>
        <w:t> </w:t>
      </w:r>
      <w:r>
        <w:rPr/>
        <w:t>o.ä.).</w:t>
      </w:r>
    </w:p>
    <w:p>
      <w:pPr>
        <w:pStyle w:val="BodyText"/>
        <w:spacing w:before="7"/>
        <w:jc w:val="left"/>
        <w:rPr>
          <w:sz w:val="22"/>
        </w:rPr>
      </w:pPr>
      <w:r>
        <w:rPr/>
        <w:pict>
          <v:shape style="position:absolute;margin-left:69.384003pt;margin-top:14.208887pt;width:456.6pt;height:110.45pt;mso-position-horizontal-relative:page;mso-position-vertical-relative:paragraph;z-index:-251657216;mso-wrap-distance-left:0;mso-wrap-distance-right:0" type="#_x0000_t202" filled="true" fillcolor="#ffe499" stroked="false">
            <v:textbox inset="0,0,0,0">
              <w:txbxContent>
                <w:p>
                  <w:pPr>
                    <w:pStyle w:val="BodyText"/>
                    <w:spacing w:line="268" w:lineRule="exact"/>
                    <w:ind w:left="28"/>
                  </w:pPr>
                  <w:r>
                    <w:rPr>
                      <w:b/>
                    </w:rPr>
                    <w:t>Beispiel: </w:t>
                  </w:r>
                  <w:r>
                    <w:rPr/>
                    <w:t>Bruttomonatsgehalt von € 3.000,00, daher beträgt das Jahressechstel i.d.R.</w:t>
                  </w:r>
                </w:p>
                <w:p>
                  <w:pPr>
                    <w:pStyle w:val="BodyText"/>
                    <w:ind w:left="28" w:right="31"/>
                  </w:pPr>
                  <w:r>
                    <w:rPr/>
                    <w:t>€ 6.000,00. Im April wird eine Jahresprämie von € 2.000,00 ausbezahlt, im Juni das Urlaubsgeld (€ 3.000,00) und im November das Weihnachtsgeld (€ 3.000,00).</w:t>
                  </w:r>
                </w:p>
                <w:p>
                  <w:pPr>
                    <w:pStyle w:val="BodyText"/>
                    <w:ind w:left="28" w:right="29"/>
                  </w:pPr>
                  <w:r>
                    <w:rPr/>
                    <w:t>Die Jahresprämie (€ 2.000,00) und das Urlaubsgeld (€ 3.000,00) haben zur Gänze im Jahressechstel</w:t>
                  </w:r>
                  <w:r>
                    <w:rPr>
                      <w:spacing w:val="-13"/>
                    </w:rPr>
                    <w:t> </w:t>
                  </w:r>
                  <w:r>
                    <w:rPr/>
                    <w:t>Platz</w:t>
                  </w:r>
                  <w:r>
                    <w:rPr>
                      <w:spacing w:val="-12"/>
                    </w:rPr>
                    <w:t> </w:t>
                  </w:r>
                  <w:r>
                    <w:rPr/>
                    <w:t>und</w:t>
                  </w:r>
                  <w:r>
                    <w:rPr>
                      <w:spacing w:val="-17"/>
                    </w:rPr>
                    <w:t> </w:t>
                  </w:r>
                  <w:r>
                    <w:rPr/>
                    <w:t>werden</w:t>
                  </w:r>
                  <w:r>
                    <w:rPr>
                      <w:spacing w:val="-12"/>
                    </w:rPr>
                    <w:t> </w:t>
                  </w:r>
                  <w:r>
                    <w:rPr/>
                    <w:t>steuerbegünstigt</w:t>
                  </w:r>
                  <w:r>
                    <w:rPr>
                      <w:spacing w:val="-13"/>
                    </w:rPr>
                    <w:t> </w:t>
                  </w:r>
                  <w:r>
                    <w:rPr/>
                    <w:t>abgerechnet</w:t>
                  </w:r>
                  <w:r>
                    <w:rPr>
                      <w:spacing w:val="-12"/>
                    </w:rPr>
                    <w:t> </w:t>
                  </w:r>
                  <w:r>
                    <w:rPr/>
                    <w:t>(€</w:t>
                  </w:r>
                  <w:r>
                    <w:rPr>
                      <w:spacing w:val="-14"/>
                    </w:rPr>
                    <w:t> </w:t>
                  </w:r>
                  <w:r>
                    <w:rPr/>
                    <w:t>620,00</w:t>
                  </w:r>
                  <w:r>
                    <w:rPr>
                      <w:spacing w:val="-12"/>
                    </w:rPr>
                    <w:t> </w:t>
                  </w:r>
                  <w:r>
                    <w:rPr/>
                    <w:t>Freibetrag</w:t>
                  </w:r>
                  <w:r>
                    <w:rPr>
                      <w:spacing w:val="-14"/>
                    </w:rPr>
                    <w:t> </w:t>
                  </w:r>
                  <w:r>
                    <w:rPr/>
                    <w:t>und</w:t>
                  </w:r>
                  <w:r>
                    <w:rPr>
                      <w:spacing w:val="-9"/>
                    </w:rPr>
                    <w:t> </w:t>
                  </w:r>
                  <w:r>
                    <w:rPr/>
                    <w:t>darüber hinaus 6 %). Vom Weihnachtsgeld können nur mehr € 1.000,00 steuerbegünstigt abgerechnet werden, der Sechstelüberhang von € 2.000,00 muss gemeinsam mit dem Gehalt voll nach dem Tarif (im Ergebnis mit knapp 50 %) versteuert</w:t>
                  </w:r>
                  <w:r>
                    <w:rPr>
                      <w:spacing w:val="-2"/>
                    </w:rPr>
                    <w:t> </w:t>
                  </w:r>
                  <w:r>
                    <w:rPr/>
                    <w:t>werden.</w:t>
                  </w:r>
                </w:p>
              </w:txbxContent>
            </v:textbox>
            <v:fill type="solid"/>
            <w10:wrap type="topAndBottom"/>
          </v:shape>
        </w:pict>
      </w:r>
    </w:p>
    <w:p>
      <w:pPr>
        <w:pStyle w:val="BodyText"/>
        <w:spacing w:before="4"/>
        <w:jc w:val="left"/>
        <w:rPr>
          <w:sz w:val="19"/>
        </w:rPr>
      </w:pPr>
    </w:p>
    <w:p>
      <w:pPr>
        <w:pStyle w:val="BodyText"/>
        <w:spacing w:before="90"/>
        <w:ind w:left="216" w:right="214"/>
      </w:pPr>
      <w:r>
        <w:rPr/>
        <w:t>BEACHTE: Ab 2020 ist jeder Arbeitgeber verpflichtet, bei Auszahlung des letzten laufenden Bezuges im Kalenderjahr das Jahressechstel neu zu berechnen (also i.d.R. im Dezember, bei unterjährigem</w:t>
      </w:r>
      <w:r>
        <w:rPr>
          <w:spacing w:val="-9"/>
        </w:rPr>
        <w:t> </w:t>
      </w:r>
      <w:r>
        <w:rPr/>
        <w:t>Austritt</w:t>
      </w:r>
      <w:r>
        <w:rPr>
          <w:spacing w:val="-9"/>
        </w:rPr>
        <w:t> </w:t>
      </w:r>
      <w:r>
        <w:rPr/>
        <w:t>hingegen</w:t>
      </w:r>
      <w:r>
        <w:rPr>
          <w:spacing w:val="-7"/>
        </w:rPr>
        <w:t> </w:t>
      </w:r>
      <w:r>
        <w:rPr/>
        <w:t>schon</w:t>
      </w:r>
      <w:r>
        <w:rPr>
          <w:spacing w:val="-10"/>
        </w:rPr>
        <w:t> </w:t>
      </w:r>
      <w:r>
        <w:rPr/>
        <w:t>bei</w:t>
      </w:r>
      <w:r>
        <w:rPr>
          <w:spacing w:val="-8"/>
        </w:rPr>
        <w:t> </w:t>
      </w:r>
      <w:r>
        <w:rPr/>
        <w:t>der</w:t>
      </w:r>
      <w:r>
        <w:rPr>
          <w:spacing w:val="-10"/>
        </w:rPr>
        <w:t> </w:t>
      </w:r>
      <w:r>
        <w:rPr/>
        <w:t>Austrittsabrechnung).</w:t>
      </w:r>
      <w:r>
        <w:rPr>
          <w:spacing w:val="-9"/>
        </w:rPr>
        <w:t> </w:t>
      </w:r>
      <w:r>
        <w:rPr/>
        <w:t>Dies</w:t>
      </w:r>
      <w:r>
        <w:rPr>
          <w:spacing w:val="-8"/>
        </w:rPr>
        <w:t> </w:t>
      </w:r>
      <w:r>
        <w:rPr/>
        <w:t>kann</w:t>
      </w:r>
      <w:r>
        <w:rPr>
          <w:spacing w:val="-10"/>
        </w:rPr>
        <w:t> </w:t>
      </w:r>
      <w:r>
        <w:rPr/>
        <w:t>insbesondere</w:t>
      </w:r>
      <w:r>
        <w:rPr>
          <w:spacing w:val="-10"/>
        </w:rPr>
        <w:t> </w:t>
      </w:r>
      <w:r>
        <w:rPr/>
        <w:t>in folgenden Fällen zu hohen Sechstelüberhängen und entsprechend hohen Steuernachzahlungen führen:</w:t>
      </w:r>
    </w:p>
    <w:p>
      <w:pPr>
        <w:pStyle w:val="ListParagraph"/>
        <w:numPr>
          <w:ilvl w:val="0"/>
          <w:numId w:val="1"/>
        </w:numPr>
        <w:tabs>
          <w:tab w:pos="937" w:val="left" w:leader="none"/>
        </w:tabs>
        <w:spacing w:line="240" w:lineRule="auto" w:before="60" w:after="0"/>
        <w:ind w:left="936" w:right="221" w:hanging="360"/>
        <w:jc w:val="both"/>
        <w:rPr>
          <w:sz w:val="24"/>
        </w:rPr>
      </w:pPr>
      <w:r>
        <w:rPr>
          <w:sz w:val="24"/>
        </w:rPr>
        <w:t>Reduktion der Arbeitszeit (und damit verbundene Entgeltreduktion) in der zweiten Hälfte des</w:t>
      </w:r>
      <w:r>
        <w:rPr>
          <w:spacing w:val="-2"/>
          <w:sz w:val="24"/>
        </w:rPr>
        <w:t> </w:t>
      </w:r>
      <w:r>
        <w:rPr>
          <w:sz w:val="24"/>
        </w:rPr>
        <w:t>Kalenderjahres;</w:t>
      </w:r>
    </w:p>
    <w:p>
      <w:pPr>
        <w:pStyle w:val="ListParagraph"/>
        <w:numPr>
          <w:ilvl w:val="0"/>
          <w:numId w:val="1"/>
        </w:numPr>
        <w:tabs>
          <w:tab w:pos="937" w:val="left" w:leader="none"/>
        </w:tabs>
        <w:spacing w:line="240" w:lineRule="auto" w:before="61" w:after="0"/>
        <w:ind w:left="936" w:right="214" w:hanging="360"/>
        <w:jc w:val="both"/>
        <w:rPr>
          <w:sz w:val="24"/>
        </w:rPr>
      </w:pPr>
      <w:r>
        <w:rPr>
          <w:sz w:val="24"/>
        </w:rPr>
        <w:t>Pflegekarenz, Bildungskarenz, unbezahlter Urlaub und sonstige „Ruhensfälle“ in der zweiten Hälfte des Kalenderjahres (ausgenommen Mutterschutz, Papamonat und gesetzliche</w:t>
      </w:r>
      <w:r>
        <w:rPr>
          <w:spacing w:val="-2"/>
          <w:sz w:val="24"/>
        </w:rPr>
        <w:t> </w:t>
      </w:r>
      <w:r>
        <w:rPr>
          <w:sz w:val="24"/>
        </w:rPr>
        <w:t>Elternkarenz);</w:t>
      </w:r>
    </w:p>
    <w:p>
      <w:pPr>
        <w:pStyle w:val="ListParagraph"/>
        <w:numPr>
          <w:ilvl w:val="0"/>
          <w:numId w:val="1"/>
        </w:numPr>
        <w:tabs>
          <w:tab w:pos="937" w:val="left" w:leader="none"/>
        </w:tabs>
        <w:spacing w:line="240" w:lineRule="auto" w:before="60" w:after="0"/>
        <w:ind w:left="936" w:right="0" w:hanging="361"/>
        <w:jc w:val="both"/>
        <w:rPr>
          <w:sz w:val="24"/>
        </w:rPr>
      </w:pPr>
      <w:r>
        <w:rPr>
          <w:sz w:val="24"/>
        </w:rPr>
        <w:t>Entgeltreduktion durch langen</w:t>
      </w:r>
      <w:r>
        <w:rPr>
          <w:spacing w:val="1"/>
          <w:sz w:val="24"/>
        </w:rPr>
        <w:t> </w:t>
      </w:r>
      <w:r>
        <w:rPr>
          <w:sz w:val="24"/>
        </w:rPr>
        <w:t>Krankenstand;</w:t>
      </w:r>
    </w:p>
    <w:p>
      <w:pPr>
        <w:pStyle w:val="ListParagraph"/>
        <w:numPr>
          <w:ilvl w:val="0"/>
          <w:numId w:val="1"/>
        </w:numPr>
        <w:tabs>
          <w:tab w:pos="937" w:val="left" w:leader="none"/>
        </w:tabs>
        <w:spacing w:line="240" w:lineRule="auto" w:before="60" w:after="0"/>
        <w:ind w:left="936" w:right="214" w:hanging="360"/>
        <w:jc w:val="both"/>
        <w:rPr>
          <w:sz w:val="24"/>
        </w:rPr>
      </w:pPr>
      <w:r>
        <w:rPr>
          <w:sz w:val="24"/>
        </w:rPr>
        <w:t>Unterjähriger Austritt nach Erhalt des vollen Urlaubsgeldes, sofern keine Rückverrechnung des überanteiligen Urlaubsgeldes erfolgt (z.B. aufgrund kollektivvertraglicher</w:t>
      </w:r>
      <w:r>
        <w:rPr>
          <w:spacing w:val="-2"/>
          <w:sz w:val="24"/>
        </w:rPr>
        <w:t> </w:t>
      </w:r>
      <w:r>
        <w:rPr>
          <w:sz w:val="24"/>
        </w:rPr>
        <w:t>Regelung);</w:t>
      </w:r>
    </w:p>
    <w:p>
      <w:pPr>
        <w:spacing w:after="0" w:line="240" w:lineRule="auto"/>
        <w:jc w:val="both"/>
        <w:rPr>
          <w:sz w:val="24"/>
        </w:rPr>
        <w:sectPr>
          <w:footerReference w:type="default" r:id="rId5"/>
          <w:type w:val="continuous"/>
          <w:pgSz w:w="11910" w:h="16840"/>
          <w:pgMar w:footer="1003" w:top="1320" w:bottom="1200" w:left="1200" w:right="1200"/>
        </w:sectPr>
      </w:pPr>
    </w:p>
    <w:p>
      <w:pPr>
        <w:pStyle w:val="ListParagraph"/>
        <w:numPr>
          <w:ilvl w:val="0"/>
          <w:numId w:val="1"/>
        </w:numPr>
        <w:tabs>
          <w:tab w:pos="937" w:val="left" w:leader="none"/>
        </w:tabs>
        <w:spacing w:line="240" w:lineRule="auto" w:before="69" w:after="0"/>
        <w:ind w:left="936" w:right="212" w:hanging="360"/>
        <w:jc w:val="both"/>
        <w:rPr>
          <w:sz w:val="24"/>
        </w:rPr>
      </w:pPr>
      <w:r>
        <w:rPr>
          <w:sz w:val="24"/>
        </w:rPr>
        <w:t>Unterjähriger Austritt mit überproportional hohen Sonderzahlungen (z.B. Auszahlung des</w:t>
      </w:r>
      <w:r>
        <w:rPr>
          <w:spacing w:val="-1"/>
          <w:sz w:val="24"/>
        </w:rPr>
        <w:t> </w:t>
      </w:r>
      <w:r>
        <w:rPr>
          <w:sz w:val="24"/>
        </w:rPr>
        <w:t>Vorjahresbonus);</w:t>
      </w:r>
    </w:p>
    <w:p>
      <w:pPr>
        <w:pStyle w:val="ListParagraph"/>
        <w:numPr>
          <w:ilvl w:val="0"/>
          <w:numId w:val="1"/>
        </w:numPr>
        <w:tabs>
          <w:tab w:pos="937" w:val="left" w:leader="none"/>
        </w:tabs>
        <w:spacing w:line="240" w:lineRule="auto" w:before="1" w:after="0"/>
        <w:ind w:left="936" w:right="213" w:hanging="360"/>
        <w:jc w:val="both"/>
        <w:rPr>
          <w:sz w:val="24"/>
        </w:rPr>
      </w:pPr>
      <w:r>
        <w:rPr>
          <w:sz w:val="24"/>
        </w:rPr>
        <w:t>Unterjährig schwankendes Sechstel, wenn das Sechstel (z.B. wegen Überstundenwegfall) im Dezember niedriger ist als bei der Weihnachtsremuneration- Auszahlung im</w:t>
      </w:r>
      <w:r>
        <w:rPr>
          <w:spacing w:val="-3"/>
          <w:sz w:val="24"/>
        </w:rPr>
        <w:t> </w:t>
      </w:r>
      <w:r>
        <w:rPr>
          <w:sz w:val="24"/>
        </w:rPr>
        <w:t>November).</w:t>
      </w:r>
    </w:p>
    <w:p>
      <w:pPr>
        <w:pStyle w:val="BodyText"/>
        <w:spacing w:before="3"/>
        <w:jc w:val="left"/>
        <w:rPr>
          <w:sz w:val="21"/>
        </w:rPr>
      </w:pPr>
      <w:r>
        <w:rPr/>
        <w:pict>
          <v:shape style="position:absolute;margin-left:65.183998pt;margin-top:14.445859pt;width:465pt;height:71.55pt;mso-position-horizontal-relative:page;mso-position-vertical-relative:paragraph;z-index:-251656192;mso-wrap-distance-left:0;mso-wrap-distance-right:0" type="#_x0000_t202" filled="false" stroked="true" strokeweight=".48004pt" strokecolor="#000000">
            <v:textbox inset="0,0,0,0">
              <w:txbxContent>
                <w:p>
                  <w:pPr>
                    <w:pStyle w:val="BodyText"/>
                    <w:spacing w:before="13"/>
                    <w:ind w:left="107" w:right="105"/>
                  </w:pPr>
                  <w:r>
                    <w:rPr/>
                    <w:t>Wenn Sie daher auf Ihrem Abrechnungsbeleg eine aus Ihrer Sicht ungewöhnlich hohe Steuerlast feststellen, wird dies in vielen Fällen an der gesetzlichen Jahressechstelregelung liegen. Wir weisen ausdrücklich darauf hin, dass die geschilderte Art der Besteuerung von Sechstelüberhängen gesetzlich verpflichtend ist und daher von unserer Personalverrechnung nicht vermieden werden kann.</w:t>
                  </w:r>
                </w:p>
              </w:txbxContent>
            </v:textbox>
            <v:stroke dashstyle="solid"/>
            <w10:wrap type="topAndBottom"/>
          </v:shape>
        </w:pict>
      </w:r>
    </w:p>
    <w:p>
      <w:pPr>
        <w:pStyle w:val="BodyText"/>
        <w:spacing w:before="10"/>
        <w:jc w:val="left"/>
        <w:rPr>
          <w:sz w:val="12"/>
        </w:rPr>
      </w:pPr>
    </w:p>
    <w:p>
      <w:pPr>
        <w:pStyle w:val="BodyText"/>
        <w:spacing w:before="90"/>
        <w:ind w:left="216" w:right="219"/>
      </w:pPr>
      <w:r>
        <w:rPr/>
        <w:t>Wir hoffen, dass die Gehalts-/Lohnabrechnung durch die vorstehenden Erklärungen für Sie etwas besser nachvollziehbar wird und wünschen Ihnen noch eine angenehme weitere Arbeitswoche.</w:t>
      </w:r>
    </w:p>
    <w:p>
      <w:pPr>
        <w:pStyle w:val="BodyText"/>
        <w:spacing w:before="1"/>
        <w:jc w:val="left"/>
      </w:pPr>
    </w:p>
    <w:p>
      <w:pPr>
        <w:pStyle w:val="BodyText"/>
        <w:ind w:left="216"/>
      </w:pPr>
      <w:r>
        <w:rPr/>
        <w:t>Herzliche Grüße</w:t>
      </w:r>
    </w:p>
    <w:p>
      <w:pPr>
        <w:pStyle w:val="BodyText"/>
        <w:jc w:val="left"/>
      </w:pPr>
    </w:p>
    <w:p>
      <w:pPr>
        <w:pStyle w:val="BodyText"/>
        <w:ind w:left="216"/>
      </w:pPr>
      <w:r>
        <w:rPr/>
        <w:t>Ihre Personalverrechnung</w:t>
      </w:r>
    </w:p>
    <w:sectPr>
      <w:pgSz w:w="11910" w:h="16840"/>
      <w:pgMar w:header="0" w:footer="1003" w:top="1320" w:bottom="1200" w:left="12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38.929993pt;margin-top:780.776001pt;width:117.55pt;height:13.05pt;mso-position-horizontal-relative:page;mso-position-vertical-relative:page;z-index:-251736064" type="#_x0000_t202" filled="false" stroked="false">
          <v:textbox inset="0,0,0,0">
            <w:txbxContent>
              <w:p>
                <w:pPr>
                  <w:spacing w:line="245" w:lineRule="exact" w:before="0"/>
                  <w:ind w:left="20" w:right="0" w:firstLine="0"/>
                  <w:jc w:val="left"/>
                  <w:rPr>
                    <w:rFonts w:ascii="Calibri" w:hAnsi="Calibri"/>
                    <w:sz w:val="22"/>
                  </w:rPr>
                </w:pPr>
                <w:r>
                  <w:rPr>
                    <w:rFonts w:ascii="Calibri" w:hAnsi="Calibri"/>
                    <w:sz w:val="22"/>
                  </w:rPr>
                  <w:t>© </w:t>
                </w:r>
                <w:hyperlink r:id="rId1">
                  <w:r>
                    <w:rPr>
                      <w:rFonts w:ascii="Calibri" w:hAnsi="Calibri"/>
                      <w:sz w:val="22"/>
                    </w:rPr>
                    <w:t>www.vorlagenportal.at</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36" w:hanging="360"/>
      </w:pPr>
      <w:rPr>
        <w:rFonts w:hint="default" w:ascii="Wingdings" w:hAnsi="Wingdings" w:eastAsia="Wingdings" w:cs="Wingdings"/>
        <w:w w:val="100"/>
        <w:sz w:val="24"/>
        <w:szCs w:val="24"/>
        <w:lang w:val="de-at" w:eastAsia="de-at" w:bidi="de-at"/>
      </w:rPr>
    </w:lvl>
    <w:lvl w:ilvl="1">
      <w:start w:val="0"/>
      <w:numFmt w:val="bullet"/>
      <w:lvlText w:val="•"/>
      <w:lvlJc w:val="left"/>
      <w:pPr>
        <w:ind w:left="1796" w:hanging="360"/>
      </w:pPr>
      <w:rPr>
        <w:rFonts w:hint="default"/>
        <w:lang w:val="de-at" w:eastAsia="de-at" w:bidi="de-at"/>
      </w:rPr>
    </w:lvl>
    <w:lvl w:ilvl="2">
      <w:start w:val="0"/>
      <w:numFmt w:val="bullet"/>
      <w:lvlText w:val="•"/>
      <w:lvlJc w:val="left"/>
      <w:pPr>
        <w:ind w:left="2653" w:hanging="360"/>
      </w:pPr>
      <w:rPr>
        <w:rFonts w:hint="default"/>
        <w:lang w:val="de-at" w:eastAsia="de-at" w:bidi="de-at"/>
      </w:rPr>
    </w:lvl>
    <w:lvl w:ilvl="3">
      <w:start w:val="0"/>
      <w:numFmt w:val="bullet"/>
      <w:lvlText w:val="•"/>
      <w:lvlJc w:val="left"/>
      <w:pPr>
        <w:ind w:left="3509" w:hanging="360"/>
      </w:pPr>
      <w:rPr>
        <w:rFonts w:hint="default"/>
        <w:lang w:val="de-at" w:eastAsia="de-at" w:bidi="de-at"/>
      </w:rPr>
    </w:lvl>
    <w:lvl w:ilvl="4">
      <w:start w:val="0"/>
      <w:numFmt w:val="bullet"/>
      <w:lvlText w:val="•"/>
      <w:lvlJc w:val="left"/>
      <w:pPr>
        <w:ind w:left="4366" w:hanging="360"/>
      </w:pPr>
      <w:rPr>
        <w:rFonts w:hint="default"/>
        <w:lang w:val="de-at" w:eastAsia="de-at" w:bidi="de-at"/>
      </w:rPr>
    </w:lvl>
    <w:lvl w:ilvl="5">
      <w:start w:val="0"/>
      <w:numFmt w:val="bullet"/>
      <w:lvlText w:val="•"/>
      <w:lvlJc w:val="left"/>
      <w:pPr>
        <w:ind w:left="5223" w:hanging="360"/>
      </w:pPr>
      <w:rPr>
        <w:rFonts w:hint="default"/>
        <w:lang w:val="de-at" w:eastAsia="de-at" w:bidi="de-at"/>
      </w:rPr>
    </w:lvl>
    <w:lvl w:ilvl="6">
      <w:start w:val="0"/>
      <w:numFmt w:val="bullet"/>
      <w:lvlText w:val="•"/>
      <w:lvlJc w:val="left"/>
      <w:pPr>
        <w:ind w:left="6079" w:hanging="360"/>
      </w:pPr>
      <w:rPr>
        <w:rFonts w:hint="default"/>
        <w:lang w:val="de-at" w:eastAsia="de-at" w:bidi="de-at"/>
      </w:rPr>
    </w:lvl>
    <w:lvl w:ilvl="7">
      <w:start w:val="0"/>
      <w:numFmt w:val="bullet"/>
      <w:lvlText w:val="•"/>
      <w:lvlJc w:val="left"/>
      <w:pPr>
        <w:ind w:left="6936" w:hanging="360"/>
      </w:pPr>
      <w:rPr>
        <w:rFonts w:hint="default"/>
        <w:lang w:val="de-at" w:eastAsia="de-at" w:bidi="de-at"/>
      </w:rPr>
    </w:lvl>
    <w:lvl w:ilvl="8">
      <w:start w:val="0"/>
      <w:numFmt w:val="bullet"/>
      <w:lvlText w:val="•"/>
      <w:lvlJc w:val="left"/>
      <w:pPr>
        <w:ind w:left="7793" w:hanging="360"/>
      </w:pPr>
      <w:rPr>
        <w:rFonts w:hint="default"/>
        <w:lang w:val="de-at" w:eastAsia="de-at" w:bidi="de-a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de-at" w:eastAsia="de-at" w:bidi="de-at"/>
    </w:rPr>
  </w:style>
  <w:style w:styleId="BodyText" w:type="paragraph">
    <w:name w:val="Body Text"/>
    <w:basedOn w:val="Normal"/>
    <w:uiPriority w:val="1"/>
    <w:qFormat/>
    <w:pPr>
      <w:jc w:val="both"/>
    </w:pPr>
    <w:rPr>
      <w:rFonts w:ascii="Times New Roman" w:hAnsi="Times New Roman" w:eastAsia="Times New Roman" w:cs="Times New Roman"/>
      <w:sz w:val="24"/>
      <w:szCs w:val="24"/>
      <w:lang w:val="de-at" w:eastAsia="de-at" w:bidi="de-at"/>
    </w:rPr>
  </w:style>
  <w:style w:styleId="ListParagraph" w:type="paragraph">
    <w:name w:val="List Paragraph"/>
    <w:basedOn w:val="Normal"/>
    <w:uiPriority w:val="1"/>
    <w:qFormat/>
    <w:pPr>
      <w:spacing w:before="60"/>
      <w:ind w:left="936" w:right="214" w:hanging="360"/>
      <w:jc w:val="both"/>
    </w:pPr>
    <w:rPr>
      <w:rFonts w:ascii="Times New Roman" w:hAnsi="Times New Roman" w:eastAsia="Times New Roman" w:cs="Times New Roman"/>
      <w:lang w:val="de-at" w:eastAsia="de-at" w:bidi="de-at"/>
    </w:rPr>
  </w:style>
  <w:style w:styleId="TableParagraph" w:type="paragraph">
    <w:name w:val="Table Paragraph"/>
    <w:basedOn w:val="Normal"/>
    <w:uiPriority w:val="1"/>
    <w:qFormat/>
    <w:pPr/>
    <w:rPr>
      <w:lang w:val="de-at" w:eastAsia="de-at" w:bidi="de-a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vorlagenporta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2020-02-28T15:00:25Z</dcterms:created>
  <dcterms:modified xsi:type="dcterms:W3CDTF">2020-02-28T15:00:25Z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2013</vt:lpwstr>
  </property>
  <property fmtid="{D5CDD505-2E9C-101B-9397-08002B2CF9AE}" pid="4" name="LastSaved">
    <vt:filetime>2020-02-28T00:00:00Z</vt:filetime>
  </property>
</Properties>
</file>